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4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557F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พระราชบัญญัติควบคุมอาคาร</w:t>
      </w:r>
    </w:p>
    <w:p w:rsidR="00476F4C" w:rsidRPr="00557FD7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 xml:space="preserve"> “</w:t>
      </w:r>
      <w:r w:rsidRPr="009638C9">
        <w:rPr>
          <w:rFonts w:ascii="TH SarabunIT๙" w:hAnsi="TH SarabunIT๙" w:cs="TH SarabunIT๙"/>
          <w:sz w:val="32"/>
          <w:szCs w:val="32"/>
          <w:cs/>
        </w:rPr>
        <w:t>อาคาร</w:t>
      </w:r>
      <w:r w:rsidRPr="009638C9">
        <w:rPr>
          <w:rFonts w:ascii="TH SarabunIT๙" w:hAnsi="TH SarabunIT๙" w:cs="TH SarabunIT๙"/>
          <w:sz w:val="32"/>
          <w:szCs w:val="32"/>
        </w:rPr>
        <w:t xml:space="preserve">”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ตึก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เรือน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โรง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ร้าน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แพ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คลังสินค้า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สำนักงานและสิ่งที่สร้างขึ้นอย่างอื่น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ซึ่งบุคคลอาจเข้าอยู่หรือเข้าใช้สอยได้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และหมายความรวมถึง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(</w:t>
      </w:r>
      <w:r w:rsidRPr="009638C9">
        <w:rPr>
          <w:rFonts w:ascii="TH SarabunIT๙" w:hAnsi="TH SarabunIT๙" w:cs="TH SarabunIT๙"/>
          <w:sz w:val="32"/>
          <w:szCs w:val="32"/>
          <w:cs/>
        </w:rPr>
        <w:t>๑</w:t>
      </w:r>
      <w:r w:rsidRPr="009638C9">
        <w:rPr>
          <w:rFonts w:ascii="TH SarabunIT๙" w:hAnsi="TH SarabunIT๙" w:cs="TH SarabunIT๙"/>
          <w:sz w:val="32"/>
          <w:szCs w:val="32"/>
        </w:rPr>
        <w:t xml:space="preserve">) </w:t>
      </w:r>
      <w:r w:rsidRPr="009638C9">
        <w:rPr>
          <w:rFonts w:ascii="TH SarabunIT๙" w:hAnsi="TH SarabunIT๙" w:cs="TH SarabunIT๙"/>
          <w:sz w:val="32"/>
          <w:szCs w:val="32"/>
          <w:cs/>
        </w:rPr>
        <w:t>อัฒจันทร์หรือสิ่งที่สร้างขึ้นอย่างอื่นเพื่อใช้เป็นที่ชุมนุของประชาชน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(</w:t>
      </w:r>
      <w:r w:rsidRPr="009638C9">
        <w:rPr>
          <w:rFonts w:ascii="TH SarabunIT๙" w:hAnsi="TH SarabunIT๙" w:cs="TH SarabunIT๙"/>
          <w:sz w:val="32"/>
          <w:szCs w:val="32"/>
          <w:cs/>
        </w:rPr>
        <w:t>๒</w:t>
      </w:r>
      <w:r w:rsidRPr="009638C9">
        <w:rPr>
          <w:rFonts w:ascii="TH SarabunIT๙" w:hAnsi="TH SarabunIT๙" w:cs="TH SarabunIT๙"/>
          <w:sz w:val="32"/>
          <w:szCs w:val="32"/>
        </w:rPr>
        <w:t xml:space="preserve">) </w:t>
      </w:r>
      <w:r w:rsidRPr="009638C9">
        <w:rPr>
          <w:rFonts w:ascii="TH SarabunIT๙" w:hAnsi="TH SarabunIT๙" w:cs="TH SarabunIT๙"/>
          <w:sz w:val="32"/>
          <w:szCs w:val="32"/>
          <w:cs/>
        </w:rPr>
        <w:t>เขื่อน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สะพาน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อุโมงค์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ทางหรือท่อระบายน้ำ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อู่เรือ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คานเรือ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ท่าน้ำ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ท่าจอดเรือ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38C9">
        <w:rPr>
          <w:rFonts w:ascii="TH SarabunIT๙" w:hAnsi="TH SarabunIT๙" w:cs="TH SarabunIT๙"/>
          <w:sz w:val="32"/>
          <w:szCs w:val="32"/>
          <w:cs/>
        </w:rPr>
        <w:t>รั้ว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กำแพง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หรือประตู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ที่สร้างขึ้นติดต่อหรือใกล้เคียงกับที่สาธารณะหรือสิ่งที่สร้างขึ้นให้บุคคลทั่วไปใช้สอย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(</w:t>
      </w:r>
      <w:r w:rsidRPr="009638C9">
        <w:rPr>
          <w:rFonts w:ascii="TH SarabunIT๙" w:hAnsi="TH SarabunIT๙" w:cs="TH SarabunIT๙"/>
          <w:sz w:val="32"/>
          <w:szCs w:val="32"/>
          <w:cs/>
        </w:rPr>
        <w:t>๓</w:t>
      </w:r>
      <w:r w:rsidRPr="009638C9">
        <w:rPr>
          <w:rFonts w:ascii="TH SarabunIT๙" w:hAnsi="TH SarabunIT๙" w:cs="TH SarabunIT๙"/>
          <w:sz w:val="32"/>
          <w:szCs w:val="32"/>
        </w:rPr>
        <w:t xml:space="preserve">) </w:t>
      </w:r>
      <w:r w:rsidRPr="009638C9">
        <w:rPr>
          <w:rFonts w:ascii="TH SarabunIT๙" w:hAnsi="TH SarabunIT๙" w:cs="TH SarabunIT๙"/>
          <w:sz w:val="32"/>
          <w:szCs w:val="32"/>
          <w:cs/>
        </w:rPr>
        <w:t>ป้ายหรือสิ่งที่สร้างขึ้นสำหรับติดหรือตั้งป้าย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(</w:t>
      </w:r>
      <w:r w:rsidRPr="009638C9">
        <w:rPr>
          <w:rFonts w:ascii="TH SarabunIT๙" w:hAnsi="TH SarabunIT๙" w:cs="TH SarabunIT๙"/>
          <w:sz w:val="32"/>
          <w:szCs w:val="32"/>
          <w:cs/>
        </w:rPr>
        <w:t>ก</w:t>
      </w:r>
      <w:r w:rsidRPr="009638C9">
        <w:rPr>
          <w:rFonts w:ascii="TH SarabunIT๙" w:hAnsi="TH SarabunIT๙" w:cs="TH SarabunIT๙"/>
          <w:sz w:val="32"/>
          <w:szCs w:val="32"/>
        </w:rPr>
        <w:t xml:space="preserve">) </w:t>
      </w:r>
      <w:r w:rsidRPr="009638C9">
        <w:rPr>
          <w:rFonts w:ascii="TH SarabunIT๙" w:hAnsi="TH SarabunIT๙" w:cs="TH SarabunIT๙"/>
          <w:sz w:val="32"/>
          <w:szCs w:val="32"/>
          <w:cs/>
        </w:rPr>
        <w:t>ที่ติดหรือตั้งไว้เหนือที่สาธารณะและมีขนาดเกินหนึ่งตารางเมตร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หรือมีน้ำหนักรวมทั้งโครงสร้างเกินสิบกิโลกรัม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(</w:t>
      </w:r>
      <w:r w:rsidRPr="009638C9">
        <w:rPr>
          <w:rFonts w:ascii="TH SarabunIT๙" w:hAnsi="TH SarabunIT๙" w:cs="TH SarabunIT๙"/>
          <w:sz w:val="32"/>
          <w:szCs w:val="32"/>
          <w:cs/>
        </w:rPr>
        <w:t>ข</w:t>
      </w:r>
      <w:r w:rsidRPr="009638C9">
        <w:rPr>
          <w:rFonts w:ascii="TH SarabunIT๙" w:hAnsi="TH SarabunIT๙" w:cs="TH SarabunIT๙"/>
          <w:sz w:val="32"/>
          <w:szCs w:val="32"/>
        </w:rPr>
        <w:t xml:space="preserve">) </w:t>
      </w:r>
      <w:r w:rsidRPr="009638C9">
        <w:rPr>
          <w:rFonts w:ascii="TH SarabunIT๙" w:hAnsi="TH SarabunIT๙" w:cs="TH SarabunIT๙"/>
          <w:sz w:val="32"/>
          <w:szCs w:val="32"/>
          <w:cs/>
        </w:rPr>
        <w:t>ที่ติดหรือตั้งไว้ในระยะห่างจากที่สาธารณะซึ่งเมื่อวัดในทางราบแล้วระยะห่างจากที่สาธารณะมีน้อยกว่าความสูงของป้ายนั้นเมื่อวัดจากพื้นดิน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และมีขนาดหรือมีน้ำหนักเกินกว่าที่กำหนดในกฎกระทรวง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(</w:t>
      </w:r>
      <w:r w:rsidRPr="009638C9">
        <w:rPr>
          <w:rFonts w:ascii="TH SarabunIT๙" w:hAnsi="TH SarabunIT๙" w:cs="TH SarabunIT๙"/>
          <w:sz w:val="32"/>
          <w:szCs w:val="32"/>
          <w:cs/>
        </w:rPr>
        <w:t>๔</w:t>
      </w:r>
      <w:r w:rsidRPr="009638C9">
        <w:rPr>
          <w:rFonts w:ascii="TH SarabunIT๙" w:hAnsi="TH SarabunIT๙" w:cs="TH SarabunIT๙"/>
          <w:sz w:val="32"/>
          <w:szCs w:val="32"/>
        </w:rPr>
        <w:t xml:space="preserve">) </w:t>
      </w:r>
      <w:r w:rsidRPr="009638C9">
        <w:rPr>
          <w:rFonts w:ascii="TH SarabunIT๙" w:hAnsi="TH SarabunIT๙" w:cs="TH SarabunIT๙"/>
          <w:sz w:val="32"/>
          <w:szCs w:val="32"/>
          <w:cs/>
        </w:rPr>
        <w:t>พื้นที่หรือสิ่งที่สร้างขึ้นเพื่อใช้เป็นที่จอดรถ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ที่กลับรถ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และทางเข้าออกของรถสำหรับอาคารที่กำหนด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(</w:t>
      </w:r>
      <w:r w:rsidRPr="009638C9">
        <w:rPr>
          <w:rFonts w:ascii="TH SarabunIT๙" w:hAnsi="TH SarabunIT๙" w:cs="TH SarabunIT๙"/>
          <w:sz w:val="32"/>
          <w:szCs w:val="32"/>
          <w:cs/>
        </w:rPr>
        <w:t>๕</w:t>
      </w:r>
      <w:r w:rsidRPr="009638C9">
        <w:rPr>
          <w:rFonts w:ascii="TH SarabunIT๙" w:hAnsi="TH SarabunIT๙" w:cs="TH SarabunIT๙"/>
          <w:sz w:val="32"/>
          <w:szCs w:val="32"/>
        </w:rPr>
        <w:t xml:space="preserve">) </w:t>
      </w:r>
      <w:r w:rsidRPr="009638C9">
        <w:rPr>
          <w:rFonts w:ascii="TH SarabunIT๙" w:hAnsi="TH SarabunIT๙" w:cs="TH SarabunIT๙"/>
          <w:sz w:val="32"/>
          <w:szCs w:val="32"/>
          <w:cs/>
        </w:rPr>
        <w:t>สิ่งที่สร้างขึ้นอย่างอื่นตามที่กำหนดในกฎกระทรวงทั้งนี้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ให้หมายความรวมถึงส่วนต่าง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ๆ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ของอาคารด้วย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“</w:t>
      </w:r>
      <w:r w:rsidRPr="009638C9">
        <w:rPr>
          <w:rFonts w:ascii="TH SarabunIT๙" w:hAnsi="TH SarabunIT๙" w:cs="TH SarabunIT๙"/>
          <w:sz w:val="32"/>
          <w:szCs w:val="32"/>
          <w:cs/>
        </w:rPr>
        <w:t>อาคารสูง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”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อาคารที่บุคคลอาจเข้าอยู่หรือเข้าใช้สอยได้ที่มีความสูงตั้งแต่ยี่สิบสามเมตรขึ้นไป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“</w:t>
      </w:r>
      <w:r w:rsidRPr="009638C9">
        <w:rPr>
          <w:rFonts w:ascii="TH SarabunIT๙" w:hAnsi="TH SarabunIT๙" w:cs="TH SarabunIT๙"/>
          <w:sz w:val="32"/>
          <w:szCs w:val="32"/>
          <w:cs/>
        </w:rPr>
        <w:t>อาคารขนาดใหญ่พิเศษ</w:t>
      </w:r>
      <w:r w:rsidRPr="009638C9">
        <w:rPr>
          <w:rFonts w:ascii="TH SarabunIT๙" w:hAnsi="TH SarabunIT๙" w:cs="TH SarabunIT๙"/>
          <w:sz w:val="32"/>
          <w:szCs w:val="32"/>
        </w:rPr>
        <w:t xml:space="preserve">”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โดยมีพื้นที่รวมกันทุกชั้นในหลังเดียวกันตั้งแต่หนึ่งหมื่นตารางเมตรขึ้นไป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“</w:t>
      </w:r>
      <w:r w:rsidRPr="009638C9">
        <w:rPr>
          <w:rFonts w:ascii="TH SarabunIT๙" w:hAnsi="TH SarabunIT๙" w:cs="TH SarabunIT๙"/>
          <w:sz w:val="32"/>
          <w:szCs w:val="32"/>
          <w:cs/>
        </w:rPr>
        <w:t>อาคารชุมนุมคน</w:t>
      </w:r>
      <w:r w:rsidRPr="009638C9">
        <w:rPr>
          <w:rFonts w:ascii="TH SarabunIT๙" w:hAnsi="TH SarabunIT๙" w:cs="TH SarabunIT๙"/>
          <w:sz w:val="32"/>
          <w:szCs w:val="32"/>
        </w:rPr>
        <w:t xml:space="preserve">”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หมายความถึง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อาคารหรือส่วนใดของอาคารที่บุคคลอาจเข้าไปภายในเพื่อประโยชน์ในการชุมนุมคนที่มีพื้นที่ตั้งแต่หนึ่งพันตารางเมตรขึ้นไป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หรือชุมนุมคนได้ตั้งแต่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38C9">
        <w:rPr>
          <w:rFonts w:ascii="TH SarabunIT๙" w:hAnsi="TH SarabunIT๙" w:cs="TH SarabunIT๙"/>
          <w:sz w:val="32"/>
          <w:szCs w:val="32"/>
          <w:cs/>
        </w:rPr>
        <w:t>ห้าร้อยคนขึ้นไป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“</w:t>
      </w:r>
      <w:r w:rsidRPr="009638C9">
        <w:rPr>
          <w:rFonts w:ascii="TH SarabunIT๙" w:hAnsi="TH SarabunIT๙" w:cs="TH SarabunIT๙"/>
          <w:sz w:val="32"/>
          <w:szCs w:val="32"/>
          <w:cs/>
        </w:rPr>
        <w:t>โรงมหรสพ</w:t>
      </w:r>
      <w:r w:rsidRPr="009638C9">
        <w:rPr>
          <w:rFonts w:ascii="TH SarabunIT๙" w:hAnsi="TH SarabunIT๙" w:cs="TH SarabunIT๙"/>
          <w:sz w:val="32"/>
          <w:szCs w:val="32"/>
        </w:rPr>
        <w:t xml:space="preserve">”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อาคารหรือส่วนใดของอาคารที่ใช้เป็นสถานที่สำหรับฉายภาพยนตร์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แสดงละคร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แสดงดนตรี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หรือกาแสดงรื่นเริงอื่นใด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และมีวัตถุประสงค์เพื่อเปิดให้สาธารณชนเข้าชมการแสดงนั้นเป็นปกติธุระ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โดยจะมีค่าตอบแทนหรือไม่ก็ตาม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“</w:t>
      </w:r>
      <w:r w:rsidRPr="009638C9">
        <w:rPr>
          <w:rFonts w:ascii="TH SarabunIT๙" w:hAnsi="TH SarabunIT๙" w:cs="TH SarabunIT๙"/>
          <w:sz w:val="32"/>
          <w:szCs w:val="32"/>
          <w:cs/>
        </w:rPr>
        <w:t>ที่สาธารณะ</w:t>
      </w:r>
      <w:r w:rsidRPr="009638C9">
        <w:rPr>
          <w:rFonts w:ascii="TH SarabunIT๙" w:hAnsi="TH SarabunIT๙" w:cs="TH SarabunIT๙"/>
          <w:sz w:val="32"/>
          <w:szCs w:val="32"/>
        </w:rPr>
        <w:t xml:space="preserve">”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ที่ซึ่งเปิดหรือยินยอมให้ประชาชนเข้าไปหรือใช้เป็นทางสัญจรได้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9638C9">
        <w:rPr>
          <w:rFonts w:ascii="TH SarabunIT๙" w:hAnsi="TH SarabunIT๙" w:cs="TH SarabunIT๙"/>
          <w:sz w:val="32"/>
          <w:szCs w:val="32"/>
          <w:cs/>
        </w:rPr>
        <w:t>ไม่ว่าจะมีการเรียกเก็บค่าตอบแทนหรือไม่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638C9">
        <w:rPr>
          <w:rFonts w:ascii="TH SarabunIT๙" w:hAnsi="TH SarabunIT๙" w:cs="TH SarabunIT๙"/>
          <w:sz w:val="32"/>
          <w:szCs w:val="32"/>
          <w:cs/>
        </w:rPr>
        <w:t>และอาคารที่ก่อสร้าง</w:t>
      </w:r>
      <w:proofErr w:type="gramEnd"/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ดัดแปลง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รื้อถอน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เคลื่อนย้าย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ใช้หรือเปลี่ยนการใช้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รวมทั้งแสดงลักษณะและขอบเขตของที่สาธารณะและอาคารในบริเวณที่ดินที่ติดต่อโดยสังเขปด้วย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“</w:t>
      </w:r>
      <w:r w:rsidRPr="009638C9">
        <w:rPr>
          <w:rFonts w:ascii="TH SarabunIT๙" w:hAnsi="TH SarabunIT๙" w:cs="TH SarabunIT๙"/>
          <w:sz w:val="32"/>
          <w:szCs w:val="32"/>
          <w:cs/>
        </w:rPr>
        <w:t>แบบแปลน</w:t>
      </w:r>
      <w:r w:rsidRPr="009638C9">
        <w:rPr>
          <w:rFonts w:ascii="TH SarabunIT๙" w:hAnsi="TH SarabunIT๙" w:cs="TH SarabunIT๙"/>
          <w:sz w:val="32"/>
          <w:szCs w:val="32"/>
        </w:rPr>
        <w:t xml:space="preserve">”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แบบเพื่อประโยชน์ในการก่อสร้าง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ดัดแปลง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รื้อถอน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638C9">
        <w:rPr>
          <w:rFonts w:ascii="TH SarabunIT๙" w:hAnsi="TH SarabunIT๙" w:cs="TH SarabunIT๙"/>
          <w:sz w:val="32"/>
          <w:szCs w:val="32"/>
          <w:cs/>
        </w:rPr>
        <w:t>เคลื่อนย้าย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ใช้หรือเปลี่ยนการใช้อาคาร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โดยมีรูปแสดงรายละเอียดส่วนสำคัญ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ขนาดเครื่องหมายวัสดุ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38C9">
        <w:rPr>
          <w:rFonts w:ascii="TH SarabunIT๙" w:hAnsi="TH SarabunIT๙" w:cs="TH SarabunIT๙"/>
          <w:sz w:val="32"/>
          <w:szCs w:val="32"/>
          <w:cs/>
        </w:rPr>
        <w:t>และการใช้สอยต่าง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ๆ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ของอาคาร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อย่างชัดเจนพอที่จะใช้ในการดำเนินการได้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“</w:t>
      </w:r>
      <w:r w:rsidRPr="009638C9">
        <w:rPr>
          <w:rFonts w:ascii="TH SarabunIT๙" w:hAnsi="TH SarabunIT๙" w:cs="TH SarabunIT๙"/>
          <w:sz w:val="32"/>
          <w:szCs w:val="32"/>
          <w:cs/>
        </w:rPr>
        <w:t>รายการประกอบแบบแปลน</w:t>
      </w:r>
      <w:r w:rsidRPr="009638C9">
        <w:rPr>
          <w:rFonts w:ascii="TH SarabunIT๙" w:hAnsi="TH SarabunIT๙" w:cs="TH SarabunIT๙"/>
          <w:sz w:val="32"/>
          <w:szCs w:val="32"/>
        </w:rPr>
        <w:t xml:space="preserve">”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ข้อความชี้แจงรายละเอียดเกี่ยวกับคุณภาพและชนิดของวัสดุ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ตลอดจนวิธีปฏิบัติหรือวิธีการสำหรับการก่อสร้าง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ดัดแปลง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รื้อถอนเคลื่อนย้าย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ใช้หรือเปลี่ยนการใช้อาคารเพื่อให้เป็นไปตามแบบแปลน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“</w:t>
      </w:r>
      <w:r w:rsidRPr="009638C9">
        <w:rPr>
          <w:rFonts w:ascii="TH SarabunIT๙" w:hAnsi="TH SarabunIT๙" w:cs="TH SarabunIT๙"/>
          <w:sz w:val="32"/>
          <w:szCs w:val="32"/>
          <w:cs/>
        </w:rPr>
        <w:t>รายการคำนวณ</w:t>
      </w:r>
      <w:r w:rsidRPr="009638C9">
        <w:rPr>
          <w:rFonts w:ascii="TH SarabunIT๙" w:hAnsi="TH SarabunIT๙" w:cs="TH SarabunIT๙"/>
          <w:sz w:val="32"/>
          <w:szCs w:val="32"/>
        </w:rPr>
        <w:t xml:space="preserve">”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รายการแสดงวิธีการคำนวณ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กำลังของวัสดุการรับน้ำหนัก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และกำลังต้านทานของส่วนต่าง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ๆ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ของอาคาร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“</w:t>
      </w:r>
      <w:r w:rsidRPr="009638C9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”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สร้างอาคารขึ้นใหม่ทั้งหมด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ไม่ว่าจะเป็นการสร้างขึ้นแทนของเดิมหรือไม่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638C9">
        <w:rPr>
          <w:rFonts w:ascii="TH SarabunIT๙" w:hAnsi="TH SarabunIT๙" w:cs="TH SarabunIT๙"/>
          <w:sz w:val="32"/>
          <w:szCs w:val="32"/>
        </w:rPr>
        <w:t>“</w:t>
      </w:r>
      <w:r w:rsidRPr="009638C9">
        <w:rPr>
          <w:rFonts w:ascii="TH SarabunIT๙" w:hAnsi="TH SarabunIT๙" w:cs="TH SarabunIT๙"/>
          <w:sz w:val="32"/>
          <w:szCs w:val="32"/>
          <w:cs/>
        </w:rPr>
        <w:t>ดัดแปลง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”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เปลี่ยนแปลงต่อเติม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เพิ่ม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ลด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หรือขยายซึ่งลักษณะขอบเขต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แบบ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รูปทรง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สัดส่วน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น้ำหนัก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เนื้อที่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ของโครงสร้างของอาคารหรือส่วนต่าง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ๆ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ของอาคารซึ่ง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38C9">
        <w:rPr>
          <w:rFonts w:ascii="TH SarabunIT๙" w:hAnsi="TH SarabunIT๙" w:cs="TH SarabunIT๙"/>
          <w:sz w:val="32"/>
          <w:szCs w:val="32"/>
          <w:cs/>
        </w:rPr>
        <w:t>ได้ก่อสร้างไว้แล้วให้ผิดไปจากเดิม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และมิใช่การซ่อมแซมหรือการดัดแปลงที่กำหนดในกฎกระทรวง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“</w:t>
      </w:r>
      <w:r w:rsidRPr="009638C9">
        <w:rPr>
          <w:rFonts w:ascii="TH SarabunIT๙" w:hAnsi="TH SarabunIT๙" w:cs="TH SarabunIT๙"/>
          <w:sz w:val="32"/>
          <w:szCs w:val="32"/>
          <w:cs/>
        </w:rPr>
        <w:t>ซ่อมแซม</w:t>
      </w:r>
      <w:r w:rsidRPr="009638C9">
        <w:rPr>
          <w:rFonts w:ascii="TH SarabunIT๙" w:hAnsi="TH SarabunIT๙" w:cs="TH SarabunIT๙"/>
          <w:sz w:val="32"/>
          <w:szCs w:val="32"/>
        </w:rPr>
        <w:t xml:space="preserve">”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ซ่อมหรือเปลี่ยนส่วนต่าง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ๆ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ของอาคารให้คงสภาพเดิม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“</w:t>
      </w:r>
      <w:r w:rsidRPr="009638C9">
        <w:rPr>
          <w:rFonts w:ascii="TH SarabunIT๙" w:hAnsi="TH SarabunIT๙" w:cs="TH SarabunIT๙"/>
          <w:sz w:val="32"/>
          <w:szCs w:val="32"/>
          <w:cs/>
        </w:rPr>
        <w:t>รื้อถอน</w:t>
      </w:r>
      <w:r w:rsidRPr="009638C9">
        <w:rPr>
          <w:rFonts w:ascii="TH SarabunIT๙" w:hAnsi="TH SarabunIT๙" w:cs="TH SarabunIT๙"/>
          <w:sz w:val="32"/>
          <w:szCs w:val="32"/>
        </w:rPr>
        <w:t xml:space="preserve">”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รื้อส่วนอันเป็นโครงสร้างของอาคารออกไป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เสา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คาน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หรือส่วนอื่นของโครงสร้างตามที่กำหนดในกฎกระทรวง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“</w:t>
      </w:r>
      <w:r w:rsidRPr="009638C9">
        <w:rPr>
          <w:rFonts w:ascii="TH SarabunIT๙" w:hAnsi="TH SarabunIT๙" w:cs="TH SarabunIT๙"/>
          <w:sz w:val="32"/>
          <w:szCs w:val="32"/>
          <w:cs/>
        </w:rPr>
        <w:t>เขตเพลิงไหม้</w:t>
      </w:r>
      <w:r w:rsidRPr="009638C9">
        <w:rPr>
          <w:rFonts w:ascii="TH SarabunIT๙" w:hAnsi="TH SarabunIT๙" w:cs="TH SarabunIT๙"/>
          <w:sz w:val="32"/>
          <w:szCs w:val="32"/>
        </w:rPr>
        <w:t xml:space="preserve">”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บริเวณที่เกิดเพลิงไหม้อาคารตั้งแต่สามสิบหลังคาเรือนขึ้นไปหรือมีเนื้อที่ตั้งแต่หนึ่งไร่ขึ้นไป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รวมทั้งบริเวณที่อยู่ติดต่อภายในระยะสามสิบเมตร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โดยรอบบริเวณที่เกิดเพลิงไหม้ด้วย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“</w:t>
      </w:r>
      <w:r w:rsidRPr="009638C9">
        <w:rPr>
          <w:rFonts w:ascii="TH SarabunIT๙" w:hAnsi="TH SarabunIT๙" w:cs="TH SarabunIT๙"/>
          <w:sz w:val="32"/>
          <w:szCs w:val="32"/>
          <w:cs/>
        </w:rPr>
        <w:t>ผู้ควบคุมงาน</w:t>
      </w:r>
      <w:r w:rsidRPr="009638C9">
        <w:rPr>
          <w:rFonts w:ascii="TH SarabunIT๙" w:hAnsi="TH SarabunIT๙" w:cs="TH SarabunIT๙"/>
          <w:sz w:val="32"/>
          <w:szCs w:val="32"/>
        </w:rPr>
        <w:t xml:space="preserve">”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ผู้ซึ่งรับผิดชอบในการอำนวยการหรือควบคุมดูแลการก่อสร้าง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ดัดแปลง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รื้อถอน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หรือเคลื่อนย้ายอาคาร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“</w:t>
      </w:r>
      <w:r w:rsidRPr="009638C9">
        <w:rPr>
          <w:rFonts w:ascii="TH SarabunIT๙" w:hAnsi="TH SarabunIT๙" w:cs="TH SarabunIT๙"/>
          <w:sz w:val="32"/>
          <w:szCs w:val="32"/>
          <w:cs/>
        </w:rPr>
        <w:t>ผู้ดำเนินการ</w:t>
      </w:r>
      <w:r w:rsidRPr="009638C9">
        <w:rPr>
          <w:rFonts w:ascii="TH SarabunIT๙" w:hAnsi="TH SarabunIT๙" w:cs="TH SarabunIT๙"/>
          <w:sz w:val="32"/>
          <w:szCs w:val="32"/>
        </w:rPr>
        <w:t xml:space="preserve">”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เจ้าของหรือผู้ครอบครองอาคารซึ่งกระทำการก่อสร้าง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ดัดแปลง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รื้อถอน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หรือเคลื่อนย้ายอาคารด้วยตนเอง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และหมายความรวมถึงผู้ซึ่งตกลงรับกระทำการดังกล่าวไม่ว่าจะมีค่าตอบแทนหรือไม่ก็ตาและผู้รับจ้างช่วง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“</w:t>
      </w:r>
      <w:r w:rsidRPr="009638C9">
        <w:rPr>
          <w:rFonts w:ascii="TH SarabunIT๙" w:hAnsi="TH SarabunIT๙" w:cs="TH SarabunIT๙"/>
          <w:sz w:val="32"/>
          <w:szCs w:val="32"/>
          <w:cs/>
        </w:rPr>
        <w:t>ผู้ครอบครองอาคาร</w:t>
      </w:r>
      <w:r w:rsidRPr="009638C9">
        <w:rPr>
          <w:rFonts w:ascii="TH SarabunIT๙" w:hAnsi="TH SarabunIT๙" w:cs="TH SarabunIT๙"/>
          <w:sz w:val="32"/>
          <w:szCs w:val="32"/>
        </w:rPr>
        <w:t>”</w:t>
      </w:r>
      <w:r w:rsidRPr="009638C9">
        <w:rPr>
          <w:rFonts w:ascii="TH SarabunIT๙" w:hAnsi="TH SarabunIT๙" w:cs="TH SarabunIT๙"/>
          <w:sz w:val="32"/>
          <w:szCs w:val="32"/>
          <w:cs/>
        </w:rPr>
        <w:t>หมายความรวมถึง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ผู้จัดการของนิติบุคคลอาคารชุดสำหรับทรัพย์ส่วนกลางตามกฎหมายว่าด้วยอาคารชุดด้วย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“</w:t>
      </w:r>
      <w:r w:rsidRPr="009638C9">
        <w:rPr>
          <w:rFonts w:ascii="TH SarabunIT๙" w:hAnsi="TH SarabunIT๙" w:cs="TH SarabunIT๙"/>
          <w:sz w:val="32"/>
          <w:szCs w:val="32"/>
          <w:cs/>
        </w:rPr>
        <w:t>ผู้ตรวจสอบ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9638C9">
        <w:rPr>
          <w:rFonts w:ascii="TH SarabunIT๙" w:hAnsi="TH SarabunIT๙" w:cs="TH SarabunIT๙"/>
          <w:sz w:val="32"/>
          <w:szCs w:val="32"/>
          <w:cs/>
        </w:rPr>
        <w:t>ผู้ซึ่งได้รับใบอนุญาตประกอบวิชาชีพวิศวกรรม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638C9">
        <w:rPr>
          <w:rFonts w:ascii="TH SarabunIT๙" w:hAnsi="TH SarabunIT๙" w:cs="TH SarabunIT๙"/>
          <w:sz w:val="32"/>
          <w:szCs w:val="32"/>
          <w:cs/>
        </w:rPr>
        <w:t>ควบคุม</w:t>
      </w:r>
      <w:proofErr w:type="gramEnd"/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หรือผู้ซึ่งได้รับใบอนุญาตประกอบวิชาชีพสถาปัตยกรรมควบคุมตามกฎหมาย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ว่าด้วยการนั้นแล้วแต่กรณี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ซึ่งได้ขึ้นทะเบียนไว้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>“</w:t>
      </w:r>
      <w:r w:rsidRPr="009638C9">
        <w:rPr>
          <w:rFonts w:ascii="TH SarabunIT๙" w:hAnsi="TH SarabunIT๙" w:cs="TH SarabunIT๙"/>
          <w:sz w:val="32"/>
          <w:szCs w:val="32"/>
          <w:cs/>
        </w:rPr>
        <w:t>นายตรวจ</w:t>
      </w:r>
      <w:r w:rsidRPr="009638C9">
        <w:rPr>
          <w:rFonts w:ascii="TH SarabunIT๙" w:hAnsi="TH SarabunIT๙" w:cs="TH SarabunIT๙"/>
          <w:sz w:val="32"/>
          <w:szCs w:val="32"/>
        </w:rPr>
        <w:t xml:space="preserve">”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ผู้ซึ่งเจ้าพนักงานท้องถิ่นแต่งตั้งให้เป็นนายตรวจ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 xml:space="preserve"> “</w:t>
      </w:r>
      <w:r w:rsidRPr="009638C9">
        <w:rPr>
          <w:rFonts w:ascii="TH SarabunIT๙" w:hAnsi="TH SarabunIT๙" w:cs="TH SarabunIT๙"/>
          <w:sz w:val="32"/>
          <w:szCs w:val="32"/>
          <w:cs/>
        </w:rPr>
        <w:t>ผู้ครอบครองอาคาร</w:t>
      </w:r>
      <w:r w:rsidRPr="009638C9">
        <w:rPr>
          <w:rFonts w:ascii="TH SarabunIT๙" w:hAnsi="TH SarabunIT๙" w:cs="TH SarabunIT๙"/>
          <w:sz w:val="32"/>
          <w:szCs w:val="32"/>
        </w:rPr>
        <w:t xml:space="preserve">” </w:t>
      </w:r>
      <w:r w:rsidRPr="009638C9">
        <w:rPr>
          <w:rFonts w:ascii="TH SarabunIT๙" w:hAnsi="TH SarabunIT๙" w:cs="TH SarabunIT๙"/>
          <w:sz w:val="32"/>
          <w:szCs w:val="32"/>
          <w:cs/>
        </w:rPr>
        <w:t>เพิ่มโดยพระราชบัญญัติควบคุมอาคาร</w:t>
      </w:r>
    </w:p>
    <w:p w:rsidR="00476F4C" w:rsidRPr="009638C9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 xml:space="preserve"> “</w:t>
      </w:r>
      <w:r w:rsidRPr="009638C9">
        <w:rPr>
          <w:rFonts w:ascii="TH SarabunIT๙" w:hAnsi="TH SarabunIT๙" w:cs="TH SarabunIT๙"/>
          <w:sz w:val="32"/>
          <w:szCs w:val="32"/>
          <w:cs/>
        </w:rPr>
        <w:t>ผู้ตรวจสอบ</w:t>
      </w:r>
      <w:r w:rsidRPr="009638C9">
        <w:rPr>
          <w:rFonts w:ascii="TH SarabunIT๙" w:hAnsi="TH SarabunIT๙" w:cs="TH SarabunIT๙"/>
          <w:sz w:val="32"/>
          <w:szCs w:val="32"/>
        </w:rPr>
        <w:t xml:space="preserve">” </w:t>
      </w:r>
      <w:r w:rsidRPr="009638C9">
        <w:rPr>
          <w:rFonts w:ascii="TH SarabunIT๙" w:hAnsi="TH SarabunIT๙" w:cs="TH SarabunIT๙"/>
          <w:sz w:val="32"/>
          <w:szCs w:val="32"/>
          <w:cs/>
        </w:rPr>
        <w:t>เพิ่มโดยพระราชบัญญัติควบคุมอาคาร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8C9">
        <w:rPr>
          <w:rFonts w:ascii="TH SarabunIT๙" w:hAnsi="TH SarabunIT๙" w:cs="TH SarabunIT๙"/>
          <w:sz w:val="32"/>
          <w:szCs w:val="32"/>
        </w:rPr>
        <w:t xml:space="preserve"> “</w:t>
      </w:r>
      <w:r w:rsidRPr="009638C9">
        <w:rPr>
          <w:rFonts w:ascii="TH SarabunIT๙" w:hAnsi="TH SarabunIT๙" w:cs="TH SarabunIT๙"/>
          <w:sz w:val="32"/>
          <w:szCs w:val="32"/>
          <w:cs/>
        </w:rPr>
        <w:t>นายช่าง</w:t>
      </w:r>
      <w:proofErr w:type="gramStart"/>
      <w:r w:rsidRPr="009638C9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proofErr w:type="gramEnd"/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ข้าราชการหรือพนักงานของราชการส่วนท้องถิ่น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ซึ่งเจ้าพนักงานท้องถิ่นแต่งตั้งให้เป็นนายช่าง</w:t>
      </w:r>
      <w:r w:rsidRPr="009638C9">
        <w:rPr>
          <w:rFonts w:ascii="TH SarabunIT๙" w:hAnsi="TH SarabunIT๙" w:cs="TH SarabunIT๙"/>
          <w:sz w:val="32"/>
          <w:szCs w:val="32"/>
        </w:rPr>
        <w:t xml:space="preserve"> </w:t>
      </w:r>
      <w:r w:rsidRPr="009638C9">
        <w:rPr>
          <w:rFonts w:ascii="TH SarabunIT๙" w:hAnsi="TH SarabunIT๙" w:cs="TH SarabunIT๙"/>
          <w:sz w:val="32"/>
          <w:szCs w:val="32"/>
          <w:cs/>
        </w:rPr>
        <w:t>หรือวิศวกรหรือสถาปนิกซึ่งอธิบดีกรม</w:t>
      </w:r>
      <w:proofErr w:type="spellStart"/>
      <w:r w:rsidRPr="009638C9">
        <w:rPr>
          <w:rFonts w:ascii="TH SarabunIT๙" w:hAnsi="TH SarabunIT๙" w:cs="TH SarabunIT๙"/>
          <w:sz w:val="32"/>
          <w:szCs w:val="32"/>
          <w:cs/>
        </w:rPr>
        <w:t>โยธาธิ</w:t>
      </w:r>
      <w:proofErr w:type="spellEnd"/>
      <w:r w:rsidRPr="009638C9">
        <w:rPr>
          <w:rFonts w:ascii="TH SarabunIT๙" w:hAnsi="TH SarabunIT๙" w:cs="TH SarabunIT๙"/>
          <w:sz w:val="32"/>
          <w:szCs w:val="32"/>
          <w:cs/>
        </w:rPr>
        <w:t>การและผังเมืองแต่งตั้งให้เป็นนายช่าง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u w:val="single"/>
        </w:rPr>
      </w:pP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การก่อสร้าง</w:t>
      </w:r>
      <w:r w:rsidRPr="00C7081A">
        <w:rPr>
          <w:rFonts w:ascii="TH SarabunIT๙" w:eastAsia="AngsanaNew" w:hAnsi="TH SarabunIT๙" w:cs="TH SarabunIT๙"/>
          <w:sz w:val="32"/>
          <w:szCs w:val="32"/>
          <w:u w:val="single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ดัดแปลง</w:t>
      </w:r>
      <w:r w:rsidRPr="00C7081A">
        <w:rPr>
          <w:rFonts w:ascii="TH SarabunIT๙" w:eastAsia="AngsanaNew" w:hAnsi="TH SarabunIT๙" w:cs="TH SarabunIT๙"/>
          <w:sz w:val="32"/>
          <w:szCs w:val="32"/>
          <w:u w:val="single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รื้อถอน</w:t>
      </w:r>
      <w:r w:rsidRPr="00C7081A">
        <w:rPr>
          <w:rFonts w:ascii="TH SarabunIT๙" w:eastAsia="AngsanaNew" w:hAnsi="TH SarabunIT๙" w:cs="TH SarabunIT๙"/>
          <w:sz w:val="32"/>
          <w:szCs w:val="32"/>
          <w:u w:val="single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เคลื่อนย้าย</w:t>
      </w:r>
      <w:r w:rsidRPr="00C7081A">
        <w:rPr>
          <w:rFonts w:ascii="TH SarabunIT๙" w:eastAsia="AngsanaNew" w:hAnsi="TH SarabunIT๙" w:cs="TH SarabunIT๙"/>
          <w:sz w:val="32"/>
          <w:szCs w:val="32"/>
          <w:u w:val="single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และใช้หรือเปลี่ยนการใช้อาคาร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ผู้ใดจะก่อสร้าง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ดัดแปลง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หรือเคลื่อนย้ายอาคารต้องได้รับใบอนุญาตจากเจ้าพนักงานท้องถิ่น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หรือแจ้งต่อเจ้าพนักงานท้องถิ่นและดำเนินการตามมาตรา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39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ทวิพระราชบัญญัติควบคุมอาคาร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 2522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2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.2535)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 2543)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4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.2549)-11</w:t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>(*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21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ความเดิมถูกยกเลิกโดยมาตรา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7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แห่งพระราชบัญญัติควบคุมอาคาร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2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.2535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และให้ใช้ความใหม่แทนดังที่พิมพ์ไว้นี้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lastRenderedPageBreak/>
        <w:t>3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sz w:val="32"/>
          <w:szCs w:val="32"/>
        </w:rPr>
      </w:pP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การก่อสร้าง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ดัดแปลง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หรือเคลื่อนย้ายอาคารชนิดหรือประเภทที่กฎกระทรวงกำหนดให้มีการตรวจสอบ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งานออกแบบและคำนวณส่วนต่าง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ของโครงสร้างอาคาร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ผู้ขอรับใบอนุญาตหรือผู้แจ้งตาม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ต้องจัดให้มีการตรวจสอบงานออกแบบและคำนวณดังกล่าวตามหลักเกณฑ์วิธีการ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และเงื่อนไขที่กำหนดใน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กฎกระทรวง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(1)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อาคารที่มีส่วนสูงเกินสิบห้าเมตรซึ่งอยู่ห่างจากอาคารอื่นหรือที่สาธารณะน้อยกว่าความสูงของ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อาคาร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(2)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อาคารที่อยู่ห่างจากอาคารอื่นหรือที่สาธารณะน้อยกว่าสองเมตร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</w:rPr>
        <w:t>(*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22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ความเดิมถูกยกเลิกโดยมาตรา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7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แห่งพระราชบัญญัติควบคุมอาคาร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2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.2535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และให้ใช้ความใหม่แทนดังที่พิมพ์ไว้นี้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ในกรณีที่เป็นการยื่นคำขอรับใบอนุญาต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ให้เจ้าพนักงานท้องถิ่น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ตรวจพิจารณาและออก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ใบอนุญาตหรือมีหนังสือแจ้งคำสั่งไม่อนุญาต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พร้อมด้วยเหตุผลให้ผู้ขอรับใบอนุญาตทราบภายในสี่สิบห้าวันนับ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ตามวรรคหนึ่งให้ขยายเวลาออกไปได้อีกไม่เกิน</w:t>
      </w:r>
      <w:r>
        <w:rPr>
          <w:rFonts w:ascii="TH SarabunIT๙" w:eastAsia="AngsanaNew" w:hAnsi="TH SarabunIT๙" w:cs="TH SarabunIT๙"/>
          <w:sz w:val="32"/>
          <w:szCs w:val="32"/>
          <w:cs/>
        </w:rPr>
        <w:t>สองคราวคราวละไม่เกินสี่สิบห้าวั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น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ตามวรรคหนึ่งหรือตามที่ได้ขยายเวลาไว้นั้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แล้วแต่กรณี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ในกรณีที่เจ้าพนักงานท้องถิ่นออกใบอนุญาตหรือคำสั่งไม่อนุญาต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ให้เจ้าพนักงานท้องถิ่นแจ้งให้ผู้ขอรับใบอนุญาตทราบโดยไม่ชักช้า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ในกรณีที่การก่อสร้าง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ดัดแปลง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รื้อถอน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หรือเคลื่อนย้ายอาคารที่ขออนุญาตนั้น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มีลักษณะ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หรืออยู่ในประเภทที่ได้กำหนดเป็นวิชาชีพวิศวกรรมควบคุมตามกฎหมายว่าด้วยวิชาชีพวิศวกรรม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หรือเป็น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วิชาชีพสถาปัตยกรรมควบคุมตามกฎหมายว่าด้วยวิชาชีพสถาปัตยกรรม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ถ้าวิศวกรหรือสถาปนิกผู้รับผิดชอบใน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พระราชบัญญัติควบคุมอาคาร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 2522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2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.2535)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 2543)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4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.2549)-12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ารนั้นตามที่ระบุไว้ในคำขอมิได้เป็นผู้ได้รับใบอนุญาตให้ประกอบวิชาชีพวิศวกรรมควบคุมหรือวิชาชีพสถาปัตยกรรมควบคุมตามกฎหมายดังกล่าว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แล้วแต่กรณี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ให้เจ้าพนักงานท้องถิ่นปฏิเสธไม่รับพิจารณาคำขอนั้น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ในการตรวจพิจารณาคำขอรับใบอนุญาต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ให้เจ้าพนักงานท้องถิ่น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มีอำนาจสั่งให้ผู้ขอรับ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ใบอนุญาตแก้ไขเปลี่ยนแปลงแผนผังบริเวณ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แบบแปลน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รายการประกอบแบบแปลน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หรือรายการคำนวณที่ได้ยื่นไว้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เพื่อให้ถูกต้องและเป็นไปตามกฎกระทรวงที่ออกตามมาตรา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8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หรือข้อบัญญัติท้องถิ่นที่ออกตามมาตรา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เมื่อผู้ขอรับใบอนุญาตได้แก้ไขเปลี่ยนแปลงแผนผังบริเวณ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แบบแปลน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รายการประกอบแบบแปลน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หรือรายการคำนวณตามคำสั่งของเจ้าพนักงานท้องถิ่นแล้ว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ให้เจ้าพนักงานท้องถิ่นตรวจพิจารณาและออกใบ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อนุญาตให้ภายในสามสิบวัน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แต่ถ้าผู้ขอรับใบอนุญาตได้แก้ไขเปลี่ยนแปลงในสาระสำคัญผิดจากคำสั่ง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ของเจ้าพนักงานท้องถิ่น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ในกรณีนี้ให้ถือว่าเป็นการยื่นคำขอใหม่และให้ดำเนินการตามมาตรา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25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ต่อไป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ในกรณีที่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แบบแปลน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รายการประกอบแบบแปลน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และรายการคำนวณที่ได้ยื่นมาพร้อมกับ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คำขอรับใบอนุญาตกระทำ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โดยผู้ที่ได้รับใบอนุญาตให้เป็นผู้ประกอบการวิชาชีพวิศวกรรมควบคุมตามกฎหมายว่าด้วยวิศวกร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ให้เจ้าพนักงานท้องถิ่นตรวจพิจารณาแต่เฉพาะในส่วนที่ไม่เกี่ยวกับรายการคำนวณ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lastRenderedPageBreak/>
        <w:t>4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sz w:val="32"/>
          <w:szCs w:val="32"/>
        </w:rPr>
      </w:pP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กรณี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แปลน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รายการประกอบแบบแปลน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และรายละเอียดด้านสถาปัตยกรรม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ของอาคารซึ่งไม่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เป็นอาคารประเภทควบคุมการใช้ที่ได้ยื่นมาพร้อมกับคำขอใบอนุญาตกระทำโดยผู้ที่ได้รับ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ใบอนุญาตให้เป็นผู้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ประกอบวิชาชีพสถาปัตยกรรมควบคุมตามกฎหมายว่าด้วยสถาปนิก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ให้เจ้าพนักงานท้องถิ่นตรวจพิจารณาแต่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เฉพาะในส่วนที่ไม่เกี่ยวกับรายละเอียดด้านสถาปัตยกรรมส่วนภายในอาคาร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เว้นแต่ทางหนีไฟและบันไดหนี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ไฟ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วันสิ้นสุดการดำเนินการตามที่ได้รับอนุญาตให้เจ้าพนักงานท้องถิ่นทราบพร้อมทั้งแนบหนังสือแสดงความ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 w:hint="cs"/>
          <w:sz w:val="32"/>
          <w:szCs w:val="32"/>
        </w:rPr>
      </w:pP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ถ้าผู้ได้รับใบอนุญาตจะบอกเลิกตัวผู้ควบคุมงานที่ได้แจ้งชื่อไว้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หรือผู้ควบคุมงานจะบอกเลิก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การเป็นผู้ควบคุมงาน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ให้มีหนังสือแจ้งให้เจ้าพนักงานท้องถิ่นทราบแต่ทั้งนี้ไม่เป็นการกระทบถึงสิทธิและหน้าที่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ทางแพ่งระหว่างผู้ได้รับใบอนุญาตกับผู้ควบคุมงานนั้น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กรณีที่มีการบอกเลิกตามวรรคหนึ่ง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ผู้ได้รับใบอนุญาตต้องระงับการดำเนินการตามที่ได้รับอนุญาตไว้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่อนจนกว่าจะได้มีหนังสือแจ้งชื่อและส่งหนังสือแสดงความยินยอมของผู้ควบคุมงานคนใหม่ให้แก่เจ้าพนักงาน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ท้องถิ่นแล้ว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ห้ามมิให้ผู้ใดจัดให้มีหรือดำเนินการก่อสร้าง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ดัดแปลง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รื้อถอน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หรือเคลื่อนย้ายอาคารให้ผิด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ไปจากแผนผังบริเวณ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แบบแปลน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รายการประกอบแบบแปลนที่ได้รับอนุญาตตลอดจนวิธีการหรือเงื่อนไขที่เจ้าพนักงานท้องถิ่นกำหนดไว้ในใบอนุญาต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หรือให้ผิดไปจากที่ได้แจ้งไว้ตามมาตรา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39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ทวิ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เว้นแต่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(1)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เจ้าของอาคารนั้นได้ยื่นคำขออนุญาตและได้รับใบอนุญาตจากเจ้าพนักงานท้องถิ่นให้ทำการแก้ไข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เปลี่ยนแปลงได้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(2)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เจ้าของอาคารนั้นได้แจ้งการแก้ไขเปลี่ยนแปลงให้เจ้าพนักงานท้องถิ่นทราบแล้ว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(3)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การดำเนินการดังกล่าวไม่ขัดต่อกฎกระทรวงหรือข้อบัญญัติท้องถิ่นที่เกี่ยวข้องหรือเป็นกรณีตามที่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กำหนดในกฎกระทรวงให้นำมาตรา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25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39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ทวิ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มาใช้บังคับแก่การดำเนินการตาม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(1)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(2)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แล้วแต่กรณี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โดยอนุโลม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ในกรณีที่มีการก่อสร้าง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ดัดแปลง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รื้อถอน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หรือเคลื่อนย้ายอาคาร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เป็นการฝ่าฝืนความในวรรคหนึ่ง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ให้ถือว่าเป็นการกระทำของผู้ควบคุมงาน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เว้นแต่ผู้ควบคุมงานจะพิสูจน์ได้ว่า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ป็นการกระทำของผู้อื่นซึ่งผู้ควบคุมงานได้มีหนังสือแจ้งข้อทักท้วงการกระทำดังกล่าวให้เจ้าของหรือผู้ครอบครองอาค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และผู้ดำเนินการทราบแล้วแต่บุคคลดังกล่าวไม่ยอมปฏิบัติตาม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</w:rPr>
        <w:t>(*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31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ความเดิมถูกยกเลิกโดยมาตรา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9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แห่งพระราชบัญญัติควบคุมอาคาร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2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.2535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และให้ใช้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 w:hint="cs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อาคารประเภทควบคุมการใช้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คือ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อาคารดังต่อไปนี้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(1)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อาคารสำหรับ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ใช้เป็นคลังสินค้า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โรงแรม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อาคารชุด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หรือสถานพยาบาล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(2)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อาคารสำหรับใช้เพื่อกิจการพาณิชยก</w:t>
      </w:r>
      <w:proofErr w:type="spellStart"/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รรม</w:t>
      </w:r>
      <w:proofErr w:type="spellEnd"/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อุตสาหกรรม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การศึกษา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การสาธารณสุข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หรือกิจการอื่นทั้งนี้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ตามที่กำหนดในกฎกระทรวงเมื่อผู้ได้รับใบอนุญาตให้ก่อสร้าง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ดัดแปลง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หรือเคลื่อนย้ายอาคารประเภทควบคุมการใช้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หรือผู้แจ้งตาม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lastRenderedPageBreak/>
        <w:t>5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ได้กระทำการดังกล่าวเสร็จแล้ว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ให้แจ้งเป็นหนังสือให้เจ้าพนักงานท้องถิ่นทราบตามแบบที่เจ้า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พนักงานท้องถิ่นกำหนด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เพื่อทำการตรวจสอบการก่อสร้าง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ดัดแปลง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เคลื่อนย้ายอาคารนั้นให้แล้วเสร็จภายในสามสิบวันนับแต่วันที่ได้รับแจ้งห้ามมิให้บุคคลใดใช้อาคารนั้นเพื่อกิจการดังที่ระบุไว้ในใบอนุญาต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หรือที่ได้แจ้งไว้ตามมาตรา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39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ทวิ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ภายในกำหนดเวลาตามวรรคสอง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พระราชบัญญัติควบคุมอาคาร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 2522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2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.2535)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 2543)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4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.2549)-14</w:t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ถ้าเจ้าพนักงานท้องถิ่นได้ทำการตรวจสอบแล้วเห็นว่าการก่อสร้าง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ดัดแปลงหรือเคลื่อนย้ายอาคารนั้นเป็นไปโดยถูกต้องตามที่ได้รับใบอนุญาต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หรือที่ได้แจ้งไว้ตามมาตรา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39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ทวิ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แล้ว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ก็ให้ออกใบรับรองให้แก่ผู้ได้รับใบอนุญาตหรือผู้แจ้งตามมาตรา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39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ทวิ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เพื่อให้มีการใช้อาคารนั้นตามที่ได้รับใบอนุญาตหรือที่ได้แจ้งตามมาตรา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sz w:val="32"/>
          <w:szCs w:val="32"/>
        </w:rPr>
      </w:pP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แต่ถ้าเจ้าพนักงานท้องถิ่นมิได้ทำการตรวจสอบภายในกำหนดเวลาตามวรรคสอง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ให้เจ้าของหรือผู้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ครอบครองอาคารนั้นใช้หรือยินยอมให้บุคคลใด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ใช้อาคารนั้น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เพื่อกิจการดังที่ระบุไว้ในใบอนุญาตหรือที่ได้แจ้ง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ไว้ตามมาตรา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39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ทวิ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proofErr w:type="gramStart"/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ต่อไปได้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ห้ามมิให้เจ้าของหรือผู้ครอบครองอาคารประเภทควบคุมการใช้</w:t>
      </w:r>
      <w:proofErr w:type="gramEnd"/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ช้หรือยินยอมให้บุคคลใดใช้อาคารนั้นเพื่อกิจการอื่นนอกจากที่ระบุไว้ในใบอนุญาตหรือที่ได้แจ้งไว้ตาม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39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ทวิ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ในระหว่างการก่อสร้าง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ดัดแปลง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รื้อถอน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หรือเคลื่อนย้ายอาคารแล้วแต่กรณี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ผู้ได้รับ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ใบอนุญาตต้องเก็บใบอนุญาต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แผนผังบริเวณ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แบบแปลน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และรายการประกอบแบบแปลนไว้ในบริเวณที่ได้รับ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อนุญาตให้กระทำการดังกล่าวหนึ่งชุด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และพร้อมที่จะให้นายช่างหรือนายตรวจตรวจดูได้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ให้ผู้ครอบครองอาคารประเภทควบคุมการใช้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แสดงใบรับรองตามมาตรา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32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หรือใบอนุญาตตามมาตรา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33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ไว้ในที่เปิดเผยและเห็นได้ง่าย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ณ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อาคารนั้น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ในกรณีที่ใบอนุญาตหรือใบรับรองสูญหาย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ถูกทำลาย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หรือชำรุดในสาระสำคัญ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ให้ผู้ได้รับ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ใบอนุญาตหรือใบรับรองยื่นคำขอรับใบแทนใบอนุญาตหรือใบแทนใบรับรองต่อเจ้าพนักงานท้องถิ่นภายในสิบ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ห้าวันนับแต่วันที่ได้ทราบถึงการสูญหาย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ถูกทำลายหรือชำรุด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การขอรับใบแทนใบอนุญาตหรือใบแทนใบรับรอง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และการออกใบแทนใบอนุญาตหรือใบแทน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ใบรับรอง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ให้เป็นไปตามหลักเกณฑ์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วิธีการและเงื่อนไขที่กำหนดในกฎกระทรวง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ใบแทนใบอนุญาตหรือใบแทนใบรับรอง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ให้มีผลตามกฎหมายเช่นเดียวกับใบอนุญาต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หรือใบรับรอง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แล้วแต่กรณีพระราชบัญญัติควบคุมอาคาร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 2522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2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.2535)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 2543)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4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.2549)-16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ผู้ใดจะก่อสร้าง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ดัดแปลง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รื้อถอน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หรือเคลื่อนย้ายอาคารโดยไม่ยื่นคำขอรับใบอนุญาต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จากเจ้าพนักงานท้องถิ่นก็ได้โดยการแจ้งต่อเจ้าพนักงานท้องถิ่นและต้องดำเนินการดังต่อไปนี้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(1)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แจ้งให้เจ้าพนักงานท้องถิ่นทราบตามแบบที่เจ้าพนักงานท้องถิ่นกำหนด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พร้อมทั้งแจ้งข้อมูลและยื่นเอกสารดังต่อไปนี้ด้วย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>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ชื่อของผู้รับผิดชอบงานออกแบบอาคารซึ่งจะต้องเป็นผู้ได้รับใบอนุญาตให้เป็นผู้ประกอบ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วิชาชีพสถาปัตยกรรมควบคุมประเภทวุฒิสถาปนิกตามกฎหมายว่าด้วยวิชาชีพสถาปัตยกรรม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และจะต้องไม่เป็นผู้ได้รับการแจ้งเวียนชื่อตามมาตรา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49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ทวิ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>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ข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ชื่อของผู้รับผิดชอบงานออกแบบและคำนวณอาคารซึ่งจะต้องเป็นผู้ได้รับใบอนุญาตให้เป็นผู้ประกอบวิชาชีพวิศวกรรมควบคุมประเภทวุฒิวิศวกรตามกฎหมายว่าด้วยวิชาชีพวิศวกรรม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และจะต้องไม่เป็นผู้ได้รับการแจ้งเวียนชื่อตามมาตรา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49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ทวิ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lastRenderedPageBreak/>
        <w:t>6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sz w:val="32"/>
          <w:szCs w:val="32"/>
        </w:rPr>
      </w:pP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>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ค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ชื่อของผู้ควบคุมงานซึ่งจะต้องเป็นผู้ได้รับใบอนุญาตให้เป็นผู้ประกอบวิชา</w:t>
      </w:r>
      <w:proofErr w:type="spellStart"/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ชีพสถาปัต</w:t>
      </w:r>
      <w:proofErr w:type="spellEnd"/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ยกรมควบคุมตามกฎหมายว่าด้วยวิชาชีพสถาปัตยกรรมและเป็นผู้ได้รับใบอนุญาตให้ประกอบวิชาชีพวิศวกรรมควบคุมตามกฎหมายว่าด้วยวิชาชีพวิศวกรรม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และจะต้องไม่เป็นผู้ได้รับการแจ้งเวียนชื่อ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ตามมาตรา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49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ทวิ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>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สำเนาใบอนุญาตของบุคคลตาม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)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ข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ค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>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หนังสือรับรองของบุคคลตาม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)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ข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ค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ว่าตนเป็นผู้ออกแบบอาคาร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เป็นผู้ออกแบบและคำนวณอาคาร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หรือจะเป็นผู้ควบคุมงาน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แล้วแต่กรณีพร้อมทั้งรับรองว่าการก่อสร้าง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ดัดแปลง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รื้อถอน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หรือเคลื่อนย้ายอาคารนั้นถูกต้องตามบทบัญญัติแห่งพระราชบัญญัตินี้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กฎกระทรวงและข้อบัญญัติ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ท้องถิ่นที่ออกตามพระราชบัญญัตินี้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และกฎหมายอื่นที่เกี่ยวข้องทุกประการ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>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แผนผังบริเวณ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แบบแปลน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รายการประกอบแบบแปลน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และรายการคำนวณของอาคารที่จะก่อสร้าง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ดัดแปลง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รื้อถอน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หรือเคลื่อนย้ายซึ่งมีคำรับรองของบุคคลตาม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ข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ว่าตนเป็นผู้ออกแบบอาคารและเป็นผู้ออกแบบและคำนวณอาคารนั้น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>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ช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วันเริ่มต้นและวันสิ้นสุดการดำเนินการดังกล่าว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(2)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ชำระค่าธรรมเนียมการตรวจแบบแปลนก่อสร้างหรือดัดแปลงอาคารในกรณีที่เป็นการแจ้งการ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่อสร้างหรือดัดแปลงอาคารถ้าผู้แจ้งได้ดำเนินการตามที่ระบุไว้ในวรรคหนึ่งครบถ้วนแล้วให้เจ้าพนักงานท้องถิ่น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และให้ผู้แจ้งเริ่มต้นดำเนินการก่อสร้า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ดัดแปลง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รื้อถอน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หรือเคลื่อนย้ายอาคารตามที่ได้แจ้งไว้ได้ตั้งแต่วันที่ได้รับใบแจ้ง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ให้นำมาตรา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38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39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มาใช้บังคับแก่ใบรับแจ้งตามมาตรานี้โดยอนุโลม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</w:rPr>
        <w:t>(*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39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ทวิ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บัญญัติเพิ่มเติมโดยมาตรา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10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แห่งพระราชบัญญัติควบคุมอาคาร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2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.2535)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</w:rPr>
        <w:t>*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39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ตรี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ในกรณีที่เจ้าพนักงานท้องถิ่นตรวจพบในภายหลังว่าผู้แจ้งได้แจ้งข้อมูลหรือยื่นเอกสารไว้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ไม่ถูกต้องหรือไม่ครบถ้วนตามที่ระบุไว้ในมาตรา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39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ทวิ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ห้เจ้าพนักงานท้องถิ่นมีอำนาจสั่งให้ผู้แจ้งมาดำเนินการแก้ไขให้ถูกต้องหรือครบถ้วนภายในเจ็ดวันนับแต่วันที่ได้รับแจ้งคำสั่งดังกล่าวภายในหนึ่งร้อยยี่สิบวันนับแต่วันที่ได้ออกใบรับแจ้งตาม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39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ทวิ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หรือนับแต่วันที่เริ่มการก่อสร้าง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ดัดแปลง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รื้อถอนหรือเคลื่อนย้ายอาคารตามที่ได้แจ้งไว้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แล้วแต่กรณี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ถ้าเจ้าพนักงานท้องถิ่นได้ตรวจพบว่าการก่อสร้าง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ดัดแปลง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รื้อถอน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หรือเคลื่อนย้ายอาคารพระราชบัญญัติควบคุมอาคาร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 2522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2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.2535)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 2543)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4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.2549)-17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ที่ได้แจ้งไว้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แผนผังบริเวณ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แบบแปลน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รายการประกอบแบบแปลน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หรือรายการคำนวณของอาคารที่ได้ยื่นไว้ตาม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ถ้าเจ้าพนักงานท้องถิ่นมิได้มีหนังสือแจ้งข้อทักท้วงให้ผู้แจ้งตามมาตรา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39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ทวิ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ทราบภายในกำหนดเวลาตามวรรคสองให้ถือว่าการก่อสร้าง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ดัดแปลง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รื้อถอน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หรือเคลื่อนย้ายอาคารดังกล่าวได้รับอนุญาตจากเจ้าพนักงานท้องถิ่นแล้ว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เว้นแต่ในกรณีดังต่อไปนี้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(1)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การกระทำดังกล่าวเป็นการรุกล้ำที่สาธารณะ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(2)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การกระทำดังกล่าวที่เกี่ยวกับระยะหรือระดับระหว่างอาคารกับถนน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ตรอก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ซอย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ทางเท้า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หรือที่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สาธารณะ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เป็นการฝ่าฝืนกฎกระทรวง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ประกาศหรือข้อบัญญัติท้องถิ่น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ที่ออกตามพระราชบัญญัตินี้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(3)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การกระทำดังกล่าวที่เกี่ยวกับบริเวณห้ามก่อสร้าง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ดัดแปลง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รื้อถอน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เคลื่อนย้ายและใช้หรือเปลี่ยน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การใช้อาคารชนิดใด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หรือประเภทใด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เป็นการฝ่าฝืน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กฎกระทรวง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ประกาศ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หรือข้อบัญญัติท้องถิ่นที่ออกตาม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พระราชบัญญัตินี้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หรือกฎหมายอื่นที่เกี่ยวข้อง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lastRenderedPageBreak/>
        <w:t>7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เบญจ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ห้ามมิให้เจ้าของอาคารหรือผู้ครอบครองอาคารใช้หรือยินยอมให้ผู้ใดใช้อาคารหรือ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ส่วนใด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ของอาคารเป็นโรงมหรสพ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เว้นแต่จะได้รับใบอนุญาตให้ใช้อาคารเพื่อประกอบกิจการโรงมหรสพจาก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คณะ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กรรมการที่มีอำนาจพิจารณาตามวรรคสอง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แล้วแต่กรณี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ให้มีคณะกรรมการพิจารณาการประกอบกิจการโรงมหรสพมีอำนาจพิจารณาออกใบอนุญาตเพิกถอนใบ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อนุญาต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ต่ออายุใบอนุญาต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โอนใบอนุญาต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และออกใบแทนใบอนุญาตเพื่อประกอบกิจการโรงมหรสพ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ดังต่อ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ไปนี้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(1)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ในเขตกรุงเทพมหานคร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ประกอบด้วยอธิบดีกรม</w:t>
      </w:r>
      <w:proofErr w:type="spellStart"/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โยธาธิ</w:t>
      </w:r>
      <w:proofErr w:type="spellEnd"/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การเป็นประธานกรรมการ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ผู้แทน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กรุงเทพมหานครผู้แทนกรมอนามัย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กระทรวงสาธารณสุข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ผู้แทนสำนักงานตำรวจแห่งชาติเป็นกรรมการและ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ให้ผู้อำนวยการกองควบคุมการก่อสร้าง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กรม</w:t>
      </w:r>
      <w:proofErr w:type="spellStart"/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โยธาธิ</w:t>
      </w:r>
      <w:proofErr w:type="spellEnd"/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การเป็นกรรมการและเลขานุการ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(2)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ในเขตจังหวัดอื่น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ประกอบด้วยผู้ว่าราชการจังหวัดเป็นประธานกรรมการ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เจ้าพนักงานท้องถิ่น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แห่งท้องที่ที่เกี่ยวข้อง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สาธารณสุขจังหวัด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หัวหน้าตำรวจภูธรจังหวัดเป็นกรรมการ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และให้</w:t>
      </w:r>
      <w:proofErr w:type="spellStart"/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โยธาธิ</w:t>
      </w:r>
      <w:proofErr w:type="spellEnd"/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การจังหวัด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เป็นพระราชบัญญัติควบคุมอาคาร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 2522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2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.2535)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3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. 2543)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ฉบับที่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4 (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C7081A">
        <w:rPr>
          <w:rFonts w:ascii="TH SarabunIT๙" w:eastAsia="AngsanaNew" w:hAnsi="TH SarabunIT๙" w:cs="TH SarabunIT๙"/>
          <w:sz w:val="32"/>
          <w:szCs w:val="32"/>
        </w:rPr>
        <w:t>.2549)-18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กรรมการและเลขานุการ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ในการวินิจฉัยชี้ขาดของที่ประชุมให้ถือเสียงข้างมาก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และให้ประธานคณะกรรมการพิจารณาการประกอบกิจ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การโรงมหรสพตามวรรคสองแล้วแต่กรณีเป็นผู้มีอำนาจลงนามออกใบอนุญาต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เพิกถอนใบอนุญาต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ต่ออายุ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ใบอนุญาต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โอนใบอนุญาต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และออกใบแทนใบอนุญาตตามวรรคสอง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ประเภทของโรงมหรสพระบบความปลอดภัยและการป้องกันอันตรายอันอาจเกิดขึ้นกับคนดู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และจำนวน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และระยะห่างของสิ่งของหรือส่วนต่าง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ภายในและภายนอกอาคารที่ใช้เป็นโรงมหรสพ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เช่นห้องฉาย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ทาง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เข้าออก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ประตู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ที่นั่งคนดู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ทางเดินเป็นต้น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ให้เป็นไปตามที่กำหนดในกฎกระทรวง</w:t>
      </w:r>
    </w:p>
    <w:p w:rsidR="00476F4C" w:rsidRPr="0081678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u w:val="single"/>
        </w:rPr>
      </w:pPr>
      <w:r w:rsidRPr="0081678C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อำนาจหน้าที่ของเจ้าพนักงานท้องถิ่น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ในกรณีที่มีการก่อสร้าง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ดัดแปลง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รื้อถอน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หรือเคลื่อนย้ายอาคารโดยฝ่าฝืนบทบัญญัติแห่ง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พระราชบัญญัตินี้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กฎกระทรวง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หรือข้อบัญญัติท้องถิ่นที่ออกตามพระราชบัญญัตินี้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หรือกฎหมายอื่นที่เกี่ยวข้อง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ให้เจ้าพนักงานท้องถิ่นมีอำนาจดำเนินการดังนี้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(1)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มีคำสั่งให้เจ้าของหรือผู้ครอบครองอาคาร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ผู้ควบคุมงาน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ผู้ดำเนินการ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ลูกจ้างหรือบริวารของบุคคลดังกล่าว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ระงับการกระทำดังกล่าว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(2)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มีคำสั่งห้ามมิให้บุคคลใดใช้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หรือเข้าไปในส่วนใด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ของอาคารหรือบริเวณที่มีการกระทำดังกล่าว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และจัดให้มีเครื่องหมายแสดงการห้ามนั้นไว้ในที่เปิดเผยและเห็นได้ง่าย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ณ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อาคารหรือบริเวณดังกล่าว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(3)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พิจารณามีคำสั่งตามมาตราแล้วแต่กรณี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ภายในสามสิบวันนับแต่วันที่ได้มีคำสั่ง</w:t>
      </w:r>
    </w:p>
    <w:p w:rsidR="00476F4C" w:rsidRPr="0081678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u w:val="single"/>
        </w:rPr>
      </w:pPr>
      <w:r w:rsidRPr="0081678C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การอุทธรณ์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ให้มีคณะกรรมการพิจารณาอุทธรณ์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(1)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ในเขตกรุงเทพมหานครหรือในเขตองค์การบริหารส่วนจังหวัด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ประกอบด้วย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ปลัดกระทรวง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มหาดไทยเป็นประธานกรรมการ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อธิบดีกรม</w:t>
      </w:r>
      <w:proofErr w:type="spellStart"/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โยธาธิ</w:t>
      </w:r>
      <w:proofErr w:type="spellEnd"/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ผู้แทนสำนักงานอัยการสูงสุด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ผู้แทนสำนักงาน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คณะกรรมการกฤษฎีกา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ผู้แทนคณะกรรมการควบคุมการประกอบวิชาชีพวิ</w:t>
      </w:r>
      <w:proofErr w:type="spellStart"/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ศกร</w:t>
      </w:r>
      <w:proofErr w:type="spellEnd"/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รม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และผู้แทนคณะกรรมการ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ควบคุมการประกอบวิชาชีพสถาปัตยกรรมเป็นกรรมการ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และกรรมการอื่นอีกไม่เกินหกคน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ซึ่งรัฐมนตรีแต่งตั้ง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จากผู้ทรงคุณวุฒิ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ในจำนวนนี้ให้มีผู้ทรงคุณวุฒิจากภาคเอกชนไม่น้อยกว่าสองคน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และให้หัวหน้าสำนักงาน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คณะกรรมการควบคุมอาคารเป็นกรรมการและเลขานุการกรรมการซึ่งรัฐมนตรีแต่งตั้งตามวรรคหนึ่ง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(1)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ต้องไม่เป็นผู้ซึ่งปฏิบัติหน้าที่ราชการของกรุงเทพมหานคร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หรือองค์การบริหารส่วนจังหวัด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หรือสมาชิกสภากรุงเทพมหานครหรือสภาจังหวัด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 w:hint="cs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lastRenderedPageBreak/>
        <w:t>8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(2)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ในเขตเทศบาล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เขตเมืองพัทยา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หรือเขตราชการส่วนท้องถิ่นอื่นประกอบด้วย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ผู้ว่าราชการจังหวัด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เป็น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ประธานกรรมการ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อัยการจังหวัดซึ่งเป็นหัวหน้าที่ทำการอัยการจังหวัด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และบุคคลอื่นอีกไม่เกินหกคนซึ่ง</w:t>
      </w:r>
    </w:p>
    <w:p w:rsidR="00476F4C" w:rsidRPr="00C7081A" w:rsidRDefault="00476F4C" w:rsidP="00476F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ปลัด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กระทรวงมหาดไทยเป็นผู้แต่งตั้ง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ในจำนวนนี้ให้แต่งตั้งจากภาคเอกชนไม่น้อยกว่าสองคนเป็นกรรมการ</w:t>
      </w:r>
    </w:p>
    <w:p w:rsidR="00476F4C" w:rsidRDefault="00476F4C" w:rsidP="00476F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และให้</w:t>
      </w:r>
      <w:proofErr w:type="spellStart"/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โยธาธิ</w:t>
      </w:r>
      <w:proofErr w:type="spellEnd"/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การจังหวัดเป็นกรรมการและเลขานุการกรรมการและเลขานุการตามวรรคหนึ่ง</w:t>
      </w:r>
      <w:r w:rsidRPr="00C7081A">
        <w:rPr>
          <w:rFonts w:ascii="TH SarabunIT๙" w:eastAsia="AngsanaNew" w:hAnsi="TH SarabunIT๙" w:cs="TH SarabunIT๙"/>
          <w:sz w:val="32"/>
          <w:szCs w:val="32"/>
        </w:rPr>
        <w:t xml:space="preserve"> (2) </w:t>
      </w:r>
      <w:r w:rsidRPr="00C7081A">
        <w:rPr>
          <w:rFonts w:ascii="TH SarabunIT๙" w:eastAsia="AngsanaNew" w:hAnsi="TH SarabunIT๙" w:cs="TH SarabunIT๙"/>
          <w:sz w:val="32"/>
          <w:szCs w:val="32"/>
          <w:cs/>
        </w:rPr>
        <w:t>ต้องไม่เป็นผู้ซึ่งปฏิบัติหน้าที่ราชการของราชการส่วนท้องถิ่นหรือสมาชิกสภาท้องถิ่น</w:t>
      </w:r>
    </w:p>
    <w:p w:rsidR="002763A0" w:rsidRDefault="002763A0"/>
    <w:sectPr w:rsidR="002763A0" w:rsidSect="00276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7A1"/>
    <w:multiLevelType w:val="singleLevel"/>
    <w:tmpl w:val="54EE9CB4"/>
    <w:lvl w:ilvl="0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">
    <w:nsid w:val="055B22C5"/>
    <w:multiLevelType w:val="singleLevel"/>
    <w:tmpl w:val="38846C4A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">
    <w:nsid w:val="24964054"/>
    <w:multiLevelType w:val="singleLevel"/>
    <w:tmpl w:val="2A8A44FC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">
    <w:nsid w:val="25711883"/>
    <w:multiLevelType w:val="hybridMultilevel"/>
    <w:tmpl w:val="30440730"/>
    <w:lvl w:ilvl="0" w:tplc="FFFFFFFF">
      <w:start w:val="9"/>
      <w:numFmt w:val="decimal"/>
      <w:lvlText w:val="(%1)"/>
      <w:lvlJc w:val="left"/>
      <w:pPr>
        <w:tabs>
          <w:tab w:val="num" w:pos="2055"/>
        </w:tabs>
        <w:ind w:left="2055" w:hanging="375"/>
      </w:pPr>
      <w:rPr>
        <w:rFonts w:hint="cs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">
    <w:nsid w:val="2CC06F4D"/>
    <w:multiLevelType w:val="multilevel"/>
    <w:tmpl w:val="2904DF6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(%2)"/>
      <w:lvlJc w:val="left"/>
      <w:pPr>
        <w:tabs>
          <w:tab w:val="num" w:pos="2550"/>
        </w:tabs>
        <w:ind w:left="2550" w:hanging="390"/>
      </w:pPr>
      <w:rPr>
        <w:rFonts w:hint="cs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9733856"/>
    <w:multiLevelType w:val="singleLevel"/>
    <w:tmpl w:val="F7A88282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6">
    <w:nsid w:val="3F747426"/>
    <w:multiLevelType w:val="hybridMultilevel"/>
    <w:tmpl w:val="1DF6E376"/>
    <w:lvl w:ilvl="0" w:tplc="643E2B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2E9202E"/>
    <w:multiLevelType w:val="singleLevel"/>
    <w:tmpl w:val="873A2B8A"/>
    <w:lvl w:ilvl="0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8">
    <w:nsid w:val="46C52737"/>
    <w:multiLevelType w:val="singleLevel"/>
    <w:tmpl w:val="3076A0A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9">
    <w:nsid w:val="50796D11"/>
    <w:multiLevelType w:val="singleLevel"/>
    <w:tmpl w:val="DD4C2830"/>
    <w:lvl w:ilvl="0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default"/>
        <w:cs w:val="0"/>
        <w:lang w:bidi="th-TH"/>
      </w:rPr>
    </w:lvl>
  </w:abstractNum>
  <w:abstractNum w:abstractNumId="10">
    <w:nsid w:val="59FD0ACF"/>
    <w:multiLevelType w:val="hybridMultilevel"/>
    <w:tmpl w:val="8D50DC50"/>
    <w:lvl w:ilvl="0" w:tplc="F8B4B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9E0449"/>
    <w:multiLevelType w:val="hybridMultilevel"/>
    <w:tmpl w:val="C004DCE4"/>
    <w:lvl w:ilvl="0" w:tplc="FFFFFFFF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4724D1"/>
    <w:multiLevelType w:val="hybridMultilevel"/>
    <w:tmpl w:val="60869200"/>
    <w:lvl w:ilvl="0" w:tplc="FFFFFFFF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CD60E61"/>
    <w:multiLevelType w:val="singleLevel"/>
    <w:tmpl w:val="BC8CD0C4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4">
    <w:nsid w:val="6F6B275C"/>
    <w:multiLevelType w:val="singleLevel"/>
    <w:tmpl w:val="52CCF092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</w:abstractNum>
  <w:abstractNum w:abstractNumId="15">
    <w:nsid w:val="749129CF"/>
    <w:multiLevelType w:val="singleLevel"/>
    <w:tmpl w:val="5DF26FE2"/>
    <w:lvl w:ilvl="0">
      <w:start w:val="3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hint="default"/>
        <w:cs w:val="0"/>
        <w:lang w:bidi="th-TH"/>
      </w:rPr>
    </w:lvl>
  </w:abstractNum>
  <w:abstractNum w:abstractNumId="16">
    <w:nsid w:val="76863770"/>
    <w:multiLevelType w:val="singleLevel"/>
    <w:tmpl w:val="15B4DE06"/>
    <w:lvl w:ilvl="0">
      <w:start w:val="1"/>
      <w:numFmt w:val="thaiLetters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6"/>
  </w:num>
  <w:num w:numId="5">
    <w:abstractNumId w:val="14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13"/>
  </w:num>
  <w:num w:numId="11">
    <w:abstractNumId w:val="15"/>
  </w:num>
  <w:num w:numId="12">
    <w:abstractNumId w:val="1"/>
  </w:num>
  <w:num w:numId="13">
    <w:abstractNumId w:val="8"/>
  </w:num>
  <w:num w:numId="14">
    <w:abstractNumId w:val="5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76F4C"/>
    <w:rsid w:val="002763A0"/>
    <w:rsid w:val="0047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4C"/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476F4C"/>
    <w:pPr>
      <w:keepNext/>
      <w:widowControl w:val="0"/>
      <w:tabs>
        <w:tab w:val="left" w:pos="4320"/>
      </w:tabs>
      <w:spacing w:after="0" w:line="240" w:lineRule="auto"/>
      <w:outlineLvl w:val="0"/>
    </w:pPr>
    <w:rPr>
      <w:rFonts w:ascii="Browallia New" w:eastAsia="Cordia New" w:hAnsi="Browallia New" w:cs="Browallia New"/>
      <w:snapToGrid w:val="0"/>
      <w:sz w:val="32"/>
      <w:szCs w:val="32"/>
      <w:lang w:eastAsia="th-TH"/>
    </w:rPr>
  </w:style>
  <w:style w:type="paragraph" w:styleId="2">
    <w:name w:val="heading 2"/>
    <w:basedOn w:val="a"/>
    <w:next w:val="a"/>
    <w:link w:val="20"/>
    <w:qFormat/>
    <w:rsid w:val="00476F4C"/>
    <w:pPr>
      <w:keepNext/>
      <w:spacing w:after="0" w:line="240" w:lineRule="auto"/>
      <w:jc w:val="center"/>
      <w:outlineLvl w:val="1"/>
    </w:pPr>
    <w:rPr>
      <w:rFonts w:ascii="Angsana New" w:hAnsi="Cordia New" w:cs="Angsana New"/>
      <w:b/>
      <w:bCs/>
      <w:sz w:val="28"/>
    </w:rPr>
  </w:style>
  <w:style w:type="paragraph" w:styleId="3">
    <w:name w:val="heading 3"/>
    <w:basedOn w:val="a"/>
    <w:next w:val="a"/>
    <w:link w:val="30"/>
    <w:qFormat/>
    <w:rsid w:val="00476F4C"/>
    <w:pPr>
      <w:keepNext/>
      <w:spacing w:after="0" w:line="240" w:lineRule="auto"/>
      <w:outlineLvl w:val="2"/>
    </w:pPr>
    <w:rPr>
      <w:rFonts w:ascii="Cordia New" w:hAnsi="Cordi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476F4C"/>
    <w:pPr>
      <w:keepNext/>
      <w:spacing w:after="0" w:line="240" w:lineRule="auto"/>
      <w:outlineLvl w:val="3"/>
    </w:pPr>
    <w:rPr>
      <w:rFonts w:ascii="Cordia New" w:eastAsia="Cordia New" w:hAnsi="Times New Roman" w:cs="Angsana New"/>
      <w:sz w:val="32"/>
      <w:szCs w:val="32"/>
      <w:u w:val="single"/>
    </w:rPr>
  </w:style>
  <w:style w:type="paragraph" w:styleId="5">
    <w:name w:val="heading 5"/>
    <w:basedOn w:val="a"/>
    <w:link w:val="50"/>
    <w:qFormat/>
    <w:rsid w:val="00476F4C"/>
    <w:pPr>
      <w:keepNext/>
      <w:spacing w:before="120" w:after="0" w:line="240" w:lineRule="auto"/>
      <w:ind w:left="1440"/>
      <w:outlineLvl w:val="4"/>
    </w:pPr>
    <w:rPr>
      <w:rFonts w:ascii="Tahoma" w:hAnsi="Tahoma" w:cs="DilleniaUPC"/>
      <w:sz w:val="32"/>
      <w:szCs w:val="32"/>
    </w:rPr>
  </w:style>
  <w:style w:type="paragraph" w:styleId="6">
    <w:name w:val="heading 6"/>
    <w:basedOn w:val="a"/>
    <w:next w:val="a"/>
    <w:link w:val="60"/>
    <w:qFormat/>
    <w:rsid w:val="00476F4C"/>
    <w:pPr>
      <w:keepNext/>
      <w:spacing w:after="0" w:line="240" w:lineRule="auto"/>
      <w:jc w:val="center"/>
      <w:outlineLvl w:val="5"/>
    </w:pPr>
    <w:rPr>
      <w:rFonts w:ascii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76F4C"/>
    <w:rPr>
      <w:rFonts w:ascii="Browallia New" w:eastAsia="Cordia New" w:hAnsi="Browallia New" w:cs="Browallia New"/>
      <w:snapToGrid w:val="0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476F4C"/>
    <w:rPr>
      <w:rFonts w:ascii="Angsana New" w:eastAsia="Times New Roman" w:hAnsi="Cordi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476F4C"/>
    <w:rPr>
      <w:rFonts w:ascii="Cordia New" w:eastAsia="Times New Roman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476F4C"/>
    <w:rPr>
      <w:rFonts w:ascii="Cordia New" w:eastAsia="Cordia New" w:hAnsi="Times New Roman" w:cs="Angsana New"/>
      <w:sz w:val="32"/>
      <w:szCs w:val="32"/>
      <w:u w:val="single"/>
    </w:rPr>
  </w:style>
  <w:style w:type="character" w:customStyle="1" w:styleId="50">
    <w:name w:val="หัวเรื่อง 5 อักขระ"/>
    <w:basedOn w:val="a0"/>
    <w:link w:val="5"/>
    <w:rsid w:val="00476F4C"/>
    <w:rPr>
      <w:rFonts w:ascii="Tahoma" w:eastAsia="Times New Roman" w:hAnsi="Tahoma" w:cs="Dillen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476F4C"/>
    <w:rPr>
      <w:rFonts w:ascii="Cordia New" w:eastAsia="Times New Roman" w:hAnsi="Cordia New" w:cs="Angsana New"/>
      <w:b/>
      <w:bCs/>
      <w:sz w:val="32"/>
      <w:szCs w:val="32"/>
    </w:rPr>
  </w:style>
  <w:style w:type="paragraph" w:customStyle="1" w:styleId="Default">
    <w:name w:val="Default"/>
    <w:rsid w:val="00476F4C"/>
    <w:pPr>
      <w:autoSpaceDE w:val="0"/>
      <w:autoSpaceDN w:val="0"/>
      <w:adjustRightInd w:val="0"/>
      <w:spacing w:after="0" w:line="240" w:lineRule="auto"/>
    </w:pPr>
    <w:rPr>
      <w:rFonts w:ascii="DilleniaUPC" w:eastAsia="Times New Roman" w:hAnsi="Calibri" w:cs="DilleniaUPC"/>
      <w:color w:val="000000"/>
      <w:sz w:val="24"/>
      <w:szCs w:val="24"/>
    </w:rPr>
  </w:style>
  <w:style w:type="paragraph" w:styleId="a3">
    <w:name w:val="Balloon Text"/>
    <w:basedOn w:val="a"/>
    <w:link w:val="a4"/>
    <w:unhideWhenUsed/>
    <w:rsid w:val="00476F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476F4C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rsid w:val="00476F4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6F4C"/>
    <w:pPr>
      <w:ind w:left="720"/>
      <w:contextualSpacing/>
    </w:pPr>
  </w:style>
  <w:style w:type="paragraph" w:styleId="a7">
    <w:name w:val="header"/>
    <w:basedOn w:val="a"/>
    <w:link w:val="a8"/>
    <w:rsid w:val="00476F4C"/>
    <w:pPr>
      <w:tabs>
        <w:tab w:val="center" w:pos="4153"/>
        <w:tab w:val="right" w:pos="8306"/>
      </w:tabs>
      <w:spacing w:after="0" w:line="240" w:lineRule="auto"/>
    </w:pPr>
    <w:rPr>
      <w:rFonts w:ascii="Times New Roman" w:eastAsia="Cordia New" w:hAnsi="Times New Roman" w:cs="Angsana New"/>
      <w:sz w:val="24"/>
      <w:szCs w:val="24"/>
      <w:lang w:eastAsia="zh-CN"/>
    </w:rPr>
  </w:style>
  <w:style w:type="character" w:customStyle="1" w:styleId="a8">
    <w:name w:val="หัวกระดาษ อักขระ"/>
    <w:basedOn w:val="a0"/>
    <w:link w:val="a7"/>
    <w:rsid w:val="00476F4C"/>
    <w:rPr>
      <w:rFonts w:ascii="Times New Roman" w:eastAsia="Cordia New" w:hAnsi="Times New Roman" w:cs="Angsana New"/>
      <w:sz w:val="24"/>
      <w:szCs w:val="24"/>
      <w:lang w:eastAsia="zh-CN"/>
    </w:rPr>
  </w:style>
  <w:style w:type="character" w:styleId="a9">
    <w:name w:val="Hyperlink"/>
    <w:basedOn w:val="a0"/>
    <w:uiPriority w:val="99"/>
    <w:rsid w:val="00476F4C"/>
    <w:rPr>
      <w:rFonts w:ascii="ms sans serif" w:hAnsi="ms sans serif" w:hint="default"/>
      <w:strike w:val="0"/>
      <w:dstrike w:val="0"/>
      <w:color w:val="0000FF"/>
      <w:sz w:val="15"/>
      <w:szCs w:val="15"/>
      <w:u w:val="none"/>
      <w:effect w:val="none"/>
    </w:rPr>
  </w:style>
  <w:style w:type="character" w:styleId="aa">
    <w:name w:val="FollowedHyperlink"/>
    <w:basedOn w:val="a0"/>
    <w:uiPriority w:val="99"/>
    <w:rsid w:val="00476F4C"/>
    <w:rPr>
      <w:strike w:val="0"/>
      <w:dstrike w:val="0"/>
      <w:color w:val="0000FF"/>
      <w:sz w:val="15"/>
      <w:szCs w:val="15"/>
      <w:u w:val="none"/>
      <w:effect w:val="none"/>
    </w:rPr>
  </w:style>
  <w:style w:type="paragraph" w:styleId="ab">
    <w:name w:val="Normal (Web)"/>
    <w:basedOn w:val="a"/>
    <w:uiPriority w:val="99"/>
    <w:rsid w:val="00476F4C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c">
    <w:name w:val="Strong"/>
    <w:basedOn w:val="a0"/>
    <w:uiPriority w:val="22"/>
    <w:qFormat/>
    <w:rsid w:val="00476F4C"/>
    <w:rPr>
      <w:b/>
      <w:bCs/>
    </w:rPr>
  </w:style>
  <w:style w:type="paragraph" w:styleId="ad">
    <w:name w:val="Title"/>
    <w:basedOn w:val="a"/>
    <w:link w:val="ae"/>
    <w:qFormat/>
    <w:rsid w:val="00476F4C"/>
    <w:pPr>
      <w:spacing w:after="0" w:line="240" w:lineRule="auto"/>
      <w:jc w:val="center"/>
    </w:pPr>
    <w:rPr>
      <w:rFonts w:ascii="Cordia New" w:eastAsia="Cordia New" w:hAnsi="Cordia New"/>
      <w:b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476F4C"/>
    <w:rPr>
      <w:rFonts w:ascii="Cordia New" w:eastAsia="Cordia New" w:hAnsi="Cordia New" w:cs="Cordia New"/>
      <w:b/>
      <w:bCs/>
      <w:sz w:val="32"/>
      <w:szCs w:val="32"/>
    </w:rPr>
  </w:style>
  <w:style w:type="character" w:styleId="af">
    <w:name w:val="page number"/>
    <w:basedOn w:val="a0"/>
    <w:rsid w:val="00476F4C"/>
  </w:style>
  <w:style w:type="paragraph" w:styleId="af0">
    <w:name w:val="footer"/>
    <w:basedOn w:val="a"/>
    <w:link w:val="af1"/>
    <w:rsid w:val="00476F4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af1">
    <w:name w:val="ท้ายกระดาษ อักขระ"/>
    <w:basedOn w:val="a0"/>
    <w:link w:val="af0"/>
    <w:rsid w:val="00476F4C"/>
    <w:rPr>
      <w:rFonts w:ascii="Times New Roman" w:eastAsia="Times New Roman" w:hAnsi="Times New Roman" w:cs="Angsana New"/>
      <w:sz w:val="24"/>
    </w:rPr>
  </w:style>
  <w:style w:type="paragraph" w:styleId="af2">
    <w:name w:val="Body Text"/>
    <w:basedOn w:val="a"/>
    <w:link w:val="af3"/>
    <w:rsid w:val="00476F4C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f3">
    <w:name w:val="เนื้อความ อักขระ"/>
    <w:basedOn w:val="a0"/>
    <w:link w:val="af2"/>
    <w:rsid w:val="00476F4C"/>
    <w:rPr>
      <w:rFonts w:ascii="AngsanaUPC" w:eastAsia="Cordia New" w:hAnsi="AngsanaUPC" w:cs="AngsanaUPC"/>
      <w:sz w:val="32"/>
      <w:szCs w:val="32"/>
    </w:rPr>
  </w:style>
  <w:style w:type="character" w:customStyle="1" w:styleId="h11">
    <w:name w:val="h11"/>
    <w:basedOn w:val="a0"/>
    <w:rsid w:val="00476F4C"/>
    <w:rPr>
      <w:rFonts w:ascii="Tahoma" w:hAnsi="Tahoma" w:cs="Tahoma" w:hint="default"/>
      <w:b/>
      <w:bCs/>
      <w:color w:val="FF0066"/>
      <w:sz w:val="18"/>
      <w:szCs w:val="18"/>
    </w:rPr>
  </w:style>
  <w:style w:type="paragraph" w:styleId="21">
    <w:name w:val="Body Text 2"/>
    <w:basedOn w:val="a"/>
    <w:link w:val="22"/>
    <w:unhideWhenUsed/>
    <w:rsid w:val="00476F4C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476F4C"/>
    <w:rPr>
      <w:rFonts w:ascii="Calibri" w:eastAsia="Times New Roman" w:hAnsi="Calibri" w:cs="Cordia New"/>
    </w:rPr>
  </w:style>
  <w:style w:type="paragraph" w:styleId="af4">
    <w:name w:val="Body Text Indent"/>
    <w:basedOn w:val="a"/>
    <w:link w:val="af5"/>
    <w:rsid w:val="00476F4C"/>
    <w:pPr>
      <w:spacing w:after="0" w:line="240" w:lineRule="auto"/>
      <w:ind w:firstLine="1440"/>
    </w:pPr>
    <w:rPr>
      <w:rFonts w:ascii="Cordia New" w:eastAsia="Cordia New" w:hAnsi="Cordia New" w:cs="Angsana New"/>
      <w:sz w:val="32"/>
      <w:szCs w:val="32"/>
    </w:rPr>
  </w:style>
  <w:style w:type="character" w:customStyle="1" w:styleId="af5">
    <w:name w:val="การเยื้องเนื้อความ อักขระ"/>
    <w:basedOn w:val="a0"/>
    <w:link w:val="af4"/>
    <w:rsid w:val="00476F4C"/>
    <w:rPr>
      <w:rFonts w:ascii="Cordia New" w:eastAsia="Cordia New" w:hAnsi="Cordia New" w:cs="Angsana New"/>
      <w:sz w:val="32"/>
      <w:szCs w:val="32"/>
    </w:rPr>
  </w:style>
  <w:style w:type="paragraph" w:styleId="31">
    <w:name w:val="Body Text 3"/>
    <w:basedOn w:val="a"/>
    <w:link w:val="32"/>
    <w:rsid w:val="00476F4C"/>
    <w:pPr>
      <w:spacing w:after="0" w:line="216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476F4C"/>
    <w:rPr>
      <w:rFonts w:ascii="Angsana New" w:eastAsia="Cordia New" w:hAnsi="Angsana New" w:cs="Angsana New"/>
      <w:sz w:val="32"/>
      <w:szCs w:val="32"/>
    </w:rPr>
  </w:style>
  <w:style w:type="paragraph" w:styleId="23">
    <w:name w:val="Body Text Indent 2"/>
    <w:basedOn w:val="a"/>
    <w:link w:val="24"/>
    <w:rsid w:val="00476F4C"/>
    <w:pPr>
      <w:spacing w:after="0" w:line="216" w:lineRule="auto"/>
      <w:ind w:firstLine="2160"/>
    </w:pPr>
    <w:rPr>
      <w:rFonts w:ascii="Angsana New" w:eastAsia="Cordia New" w:hAnsi="Angsana New" w:cs="Angsana New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476F4C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A451-351A-4B9A-9FBF-F8604E00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2808</Words>
  <Characters>16011</Characters>
  <Application>Microsoft Office Word</Application>
  <DocSecurity>0</DocSecurity>
  <Lines>133</Lines>
  <Paragraphs>37</Paragraphs>
  <ScaleCrop>false</ScaleCrop>
  <Company/>
  <LinksUpToDate>false</LinksUpToDate>
  <CharactersWithSpaces>18782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2015-06-22T04:00:00Z</dcterms:created>
  <dcterms:modified xsi:type="dcterms:W3CDTF">2015-06-22T04:03:00Z</dcterms:modified>
</cp:coreProperties>
</file>